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snapToGrid w:val="0"/>
        <w:jc w:val="center"/>
        <w:rPr>
          <w:b/>
          <w:bCs/>
          <w:sz w:val="32"/>
        </w:rPr>
      </w:pPr>
      <w:r>
        <w:rPr>
          <w:rFonts w:hint="eastAsia"/>
          <w:b/>
          <w:bCs/>
          <w:sz w:val="32"/>
        </w:rPr>
        <w:t>滁州学院</w:t>
      </w:r>
      <w:r>
        <w:rPr>
          <w:rFonts w:hint="eastAsia"/>
          <w:b/>
          <w:bCs/>
          <w:sz w:val="32"/>
        </w:rPr>
        <w:t>15,16</w:t>
      </w:r>
      <w:r>
        <w:rPr>
          <w:rFonts w:hint="eastAsia"/>
          <w:b/>
          <w:bCs/>
          <w:sz w:val="32"/>
        </w:rPr>
        <w:t>号</w:t>
      </w:r>
      <w:r>
        <w:rPr>
          <w:b/>
          <w:bCs/>
          <w:sz w:val="32"/>
        </w:rPr>
        <w:t>宿舍楼</w:t>
      </w:r>
      <w:r>
        <w:rPr>
          <w:rFonts w:hint="eastAsia"/>
          <w:b/>
          <w:bCs/>
          <w:sz w:val="32"/>
        </w:rPr>
        <w:t>详细勘察要求说明</w:t>
      </w:r>
    </w:p>
    <w:p>
      <w:pPr>
        <w:spacing w:line="360" w:lineRule="auto"/>
        <w:ind w:firstLine="360"/>
        <w:rPr>
          <w:sz w:val="24"/>
        </w:rPr>
      </w:pPr>
      <w:r>
        <w:rPr>
          <w:rFonts w:hint="eastAsia"/>
          <w:sz w:val="24"/>
        </w:rPr>
        <w:t>详细勘察应按单体建筑物或建筑物群，提出详细的岩土工程资料和设计、施工所需的岩土参数；对建筑地基做出岩土工程评价，并对地基类型、基础形式、地基处理、基坑支护、工程降水和不良地质作用的防治等提出建议。主要要求如下：</w:t>
      </w:r>
    </w:p>
    <w:p>
      <w:pPr>
        <w:numPr>
          <w:ilvl w:val="0"/>
          <w:numId w:val="2"/>
        </w:numPr>
        <w:spacing w:line="360" w:lineRule="auto"/>
        <w:rPr>
          <w:sz w:val="24"/>
        </w:rPr>
      </w:pPr>
      <w:r>
        <w:rPr>
          <w:rFonts w:hint="eastAsia"/>
          <w:sz w:val="24"/>
        </w:rPr>
        <w:t>查明拟建建筑物所在场地荷载影响范围的岩石和土的类型、地层分布、深度、工程特性，分析和评价地基的稳定性、均匀性和承载力。</w:t>
      </w:r>
    </w:p>
    <w:p>
      <w:pPr>
        <w:numPr>
          <w:ilvl w:val="0"/>
          <w:numId w:val="2"/>
        </w:numPr>
        <w:spacing w:line="360" w:lineRule="auto"/>
        <w:rPr>
          <w:sz w:val="24"/>
        </w:rPr>
      </w:pPr>
      <w:r>
        <w:rPr>
          <w:rFonts w:hint="eastAsia"/>
          <w:sz w:val="24"/>
        </w:rPr>
        <w:t>查明不良地质作用的类型、成因、分布范围、深度、土质情况、发展趋势和危害程度，提供不良地基处理所需的计算指标及资料并提出整治方案的建议。</w:t>
      </w:r>
    </w:p>
    <w:p>
      <w:pPr>
        <w:numPr>
          <w:ilvl w:val="0"/>
          <w:numId w:val="2"/>
        </w:numPr>
        <w:spacing w:line="360" w:lineRule="auto"/>
        <w:rPr>
          <w:sz w:val="24"/>
        </w:rPr>
      </w:pPr>
      <w:r>
        <w:rPr>
          <w:rFonts w:hint="eastAsia"/>
          <w:sz w:val="24"/>
        </w:rPr>
        <w:t>查明埋藏的河道、沟浜、墓穴、防空洞、孤石等对工程不利的埋藏物。</w:t>
      </w:r>
    </w:p>
    <w:p>
      <w:pPr>
        <w:numPr>
          <w:ilvl w:val="0"/>
          <w:numId w:val="2"/>
        </w:numPr>
        <w:spacing w:line="360" w:lineRule="auto"/>
        <w:rPr>
          <w:sz w:val="24"/>
        </w:rPr>
      </w:pPr>
      <w:r>
        <w:rPr>
          <w:rFonts w:hint="eastAsia"/>
          <w:sz w:val="24"/>
        </w:rPr>
        <w:t>查明地下水埋藏条件、类型、水质、水位变化和规律及地层的渗透性。提供地下水位及其变化幅度和主要影响因素。</w:t>
      </w:r>
    </w:p>
    <w:p>
      <w:pPr>
        <w:numPr>
          <w:ilvl w:val="0"/>
          <w:numId w:val="2"/>
        </w:numPr>
        <w:spacing w:line="360" w:lineRule="auto"/>
        <w:rPr>
          <w:sz w:val="24"/>
        </w:rPr>
      </w:pPr>
      <w:r>
        <w:rPr>
          <w:rFonts w:hint="eastAsia"/>
          <w:sz w:val="24"/>
        </w:rPr>
        <w:t>判定地下水及土对建筑材料的腐蚀性。</w:t>
      </w:r>
    </w:p>
    <w:p>
      <w:pPr>
        <w:numPr>
          <w:ilvl w:val="0"/>
          <w:numId w:val="2"/>
        </w:numPr>
        <w:spacing w:line="360" w:lineRule="auto"/>
        <w:rPr>
          <w:sz w:val="24"/>
        </w:rPr>
      </w:pPr>
      <w:r>
        <w:rPr>
          <w:rFonts w:hint="eastAsia"/>
          <w:sz w:val="24"/>
        </w:rPr>
        <w:t>判定地基岩石和土及地下水在建筑物施工和使用中可能产生的变化及其对工程和环境的影响，并提出防治建议。</w:t>
      </w:r>
    </w:p>
    <w:p>
      <w:pPr>
        <w:numPr>
          <w:ilvl w:val="0"/>
          <w:numId w:val="2"/>
        </w:numPr>
        <w:spacing w:line="360" w:lineRule="auto"/>
        <w:rPr>
          <w:sz w:val="24"/>
        </w:rPr>
      </w:pPr>
      <w:r>
        <w:rPr>
          <w:rFonts w:hint="eastAsia"/>
          <w:sz w:val="24"/>
        </w:rPr>
        <w:t>若遇饱和粉砂层和砂质粉土层，则应查明其液化的可能性、并判别其液化的等级。</w:t>
      </w:r>
    </w:p>
    <w:p>
      <w:pPr>
        <w:numPr>
          <w:ilvl w:val="0"/>
          <w:numId w:val="2"/>
        </w:numPr>
        <w:adjustRightInd w:val="0"/>
        <w:snapToGrid w:val="0"/>
        <w:spacing w:line="360" w:lineRule="auto"/>
        <w:ind w:left="357" w:hanging="357"/>
        <w:rPr>
          <w:sz w:val="24"/>
        </w:rPr>
      </w:pPr>
      <w:r>
        <w:rPr>
          <w:rFonts w:hint="eastAsia"/>
          <w:sz w:val="24"/>
        </w:rPr>
        <w:t>对于桩基，采用何种桩型及桩尖持力层等提出建议。估算单桩承载力特征值，评价成桩可能性，论证桩的施工条件及其对周围环境的影响。</w:t>
      </w:r>
    </w:p>
    <w:p>
      <w:pPr>
        <w:numPr>
          <w:ilvl w:val="0"/>
          <w:numId w:val="2"/>
        </w:numPr>
        <w:adjustRightInd w:val="0"/>
        <w:snapToGrid w:val="0"/>
        <w:spacing w:line="360" w:lineRule="auto"/>
        <w:ind w:left="357" w:hanging="357"/>
        <w:rPr>
          <w:sz w:val="24"/>
        </w:rPr>
      </w:pPr>
      <w:r>
        <w:rPr>
          <w:rFonts w:hint="eastAsia"/>
          <w:sz w:val="24"/>
        </w:rPr>
        <w:t>对于天然地基，基础采用何种形式、置于何种持力层提出建议。判定软土地基产生失稳和不均匀变形的可能性，并提出防治建议。</w:t>
      </w:r>
    </w:p>
    <w:p>
      <w:pPr>
        <w:adjustRightInd w:val="0"/>
        <w:snapToGrid w:val="0"/>
        <w:spacing w:line="360" w:lineRule="auto"/>
        <w:rPr>
          <w:sz w:val="24"/>
        </w:rPr>
      </w:pPr>
      <w:r>
        <w:rPr>
          <w:rFonts w:hint="eastAsia"/>
          <w:sz w:val="24"/>
        </w:rPr>
        <w:t xml:space="preserve">10. </w:t>
      </w:r>
      <w:r>
        <w:rPr>
          <w:rFonts w:hint="eastAsia"/>
          <w:sz w:val="24"/>
        </w:rPr>
        <w:t>对于不良地基，地基采用何种处理方法提出建议。</w:t>
      </w:r>
    </w:p>
    <w:p>
      <w:pPr>
        <w:adjustRightInd w:val="0"/>
        <w:snapToGrid w:val="0"/>
        <w:spacing w:line="360" w:lineRule="auto"/>
        <w:rPr>
          <w:sz w:val="24"/>
        </w:rPr>
      </w:pPr>
      <w:r>
        <w:rPr>
          <w:rFonts w:hint="eastAsia"/>
          <w:sz w:val="24"/>
        </w:rPr>
        <w:t xml:space="preserve">11. </w:t>
      </w:r>
      <w:r>
        <w:rPr>
          <w:rFonts w:hint="eastAsia"/>
          <w:sz w:val="24"/>
        </w:rPr>
        <w:t>提供天然基础及桩基沉降计算所需的各种参数。提供挡土墙设计的相关参数。</w:t>
      </w:r>
    </w:p>
    <w:p>
      <w:pPr>
        <w:adjustRightInd w:val="0"/>
        <w:snapToGrid w:val="0"/>
        <w:spacing w:line="360" w:lineRule="auto"/>
        <w:rPr>
          <w:sz w:val="24"/>
        </w:rPr>
      </w:pPr>
      <w:r>
        <w:rPr>
          <w:rFonts w:hint="eastAsia"/>
          <w:sz w:val="24"/>
        </w:rPr>
        <w:t>提供基坑支护设计的相关参数。</w:t>
      </w:r>
    </w:p>
    <w:p>
      <w:pPr>
        <w:spacing w:line="360" w:lineRule="auto"/>
        <w:rPr>
          <w:sz w:val="24"/>
        </w:rPr>
      </w:pPr>
      <w:r>
        <w:rPr>
          <w:rFonts w:hint="eastAsia"/>
          <w:sz w:val="24"/>
        </w:rPr>
        <w:t xml:space="preserve">12. </w:t>
      </w:r>
      <w:r>
        <w:rPr>
          <w:rFonts w:hint="eastAsia"/>
          <w:sz w:val="24"/>
        </w:rPr>
        <w:t>判别拟建建筑物场地的类别，划分对抗震有利、不利或危险的地段。</w:t>
      </w:r>
    </w:p>
    <w:p>
      <w:pPr>
        <w:spacing w:line="360" w:lineRule="auto"/>
        <w:rPr>
          <w:sz w:val="24"/>
        </w:rPr>
      </w:pPr>
      <w:r>
        <w:rPr>
          <w:rFonts w:hint="eastAsia"/>
          <w:sz w:val="24"/>
        </w:rPr>
        <w:t xml:space="preserve">13. </w:t>
      </w:r>
      <w:r>
        <w:rPr>
          <w:rFonts w:hint="eastAsia"/>
          <w:sz w:val="24"/>
        </w:rPr>
        <w:t>提出拟建建筑物所在场地的抗震设防烈度、设计基本地震加速度和设计特征周期分区。</w:t>
      </w:r>
      <w:r>
        <w:rPr>
          <w:rFonts w:hint="eastAsia"/>
          <w:b/>
          <w:bCs/>
          <w:sz w:val="24"/>
        </w:rPr>
        <w:t>当拟建建筑物位于发震断裂带两侧</w:t>
      </w:r>
      <w:r>
        <w:rPr>
          <w:rFonts w:hint="eastAsia"/>
          <w:b/>
          <w:bCs/>
          <w:sz w:val="24"/>
        </w:rPr>
        <w:t>1</w:t>
      </w:r>
      <w:r>
        <w:rPr>
          <w:b/>
          <w:bCs/>
          <w:sz w:val="24"/>
        </w:rPr>
        <w:t>0</w:t>
      </w:r>
      <w:r>
        <w:rPr>
          <w:rFonts w:hint="eastAsia"/>
          <w:b/>
          <w:bCs/>
          <w:sz w:val="24"/>
        </w:rPr>
        <w:t>km</w:t>
      </w:r>
      <w:r>
        <w:rPr>
          <w:rFonts w:hint="eastAsia"/>
          <w:b/>
          <w:bCs/>
          <w:sz w:val="24"/>
        </w:rPr>
        <w:t>以内时，应查明其实际距离（须考虑近场效应对设计地震动参数的影响）。</w:t>
      </w:r>
    </w:p>
    <w:p>
      <w:pPr>
        <w:spacing w:line="360" w:lineRule="auto"/>
        <w:rPr>
          <w:sz w:val="24"/>
        </w:rPr>
      </w:pPr>
      <w:r>
        <w:rPr>
          <w:rFonts w:hint="eastAsia"/>
          <w:sz w:val="24"/>
        </w:rPr>
        <w:t xml:space="preserve">14. </w:t>
      </w:r>
      <w:r>
        <w:rPr>
          <w:rFonts w:hint="eastAsia"/>
          <w:sz w:val="24"/>
        </w:rPr>
        <w:t>勘探点布置见平面图，若同一建筑范围内的主要受力层或有影响的下卧层起伏较大时还应加密勘探点，查明其变化。图示勘探孔的类型、深度及其中控制性</w:t>
      </w:r>
      <w:r>
        <w:rPr>
          <w:rFonts w:hint="eastAsia"/>
          <w:sz w:val="24"/>
        </w:rPr>
        <w:lastRenderedPageBreak/>
        <w:t>勘探孔的数量，请按国家标准</w:t>
      </w:r>
      <w:r>
        <w:rPr>
          <w:rFonts w:hint="eastAsia"/>
          <w:sz w:val="24"/>
        </w:rPr>
        <w:t>&lt;&lt;</w:t>
      </w:r>
      <w:r>
        <w:rPr>
          <w:rFonts w:hint="eastAsia"/>
          <w:sz w:val="24"/>
        </w:rPr>
        <w:t>岩土工程勘察规范</w:t>
      </w:r>
      <w:r>
        <w:rPr>
          <w:rFonts w:hint="eastAsia"/>
          <w:sz w:val="24"/>
        </w:rPr>
        <w:t>(2009</w:t>
      </w:r>
      <w:r>
        <w:rPr>
          <w:rFonts w:hint="eastAsia"/>
          <w:sz w:val="24"/>
        </w:rPr>
        <w:t>年版</w:t>
      </w:r>
      <w:r>
        <w:rPr>
          <w:rFonts w:hint="eastAsia"/>
          <w:sz w:val="24"/>
        </w:rPr>
        <w:t>)&gt;&gt;</w:t>
      </w:r>
      <w:r>
        <w:rPr>
          <w:rFonts w:hint="eastAsia"/>
          <w:sz w:val="24"/>
        </w:rPr>
        <w:t>（</w:t>
      </w:r>
      <w:r>
        <w:rPr>
          <w:rFonts w:hint="eastAsia"/>
          <w:sz w:val="24"/>
        </w:rPr>
        <w:t>GB50021-2001</w:t>
      </w:r>
      <w:r>
        <w:rPr>
          <w:rFonts w:hint="eastAsia"/>
          <w:sz w:val="24"/>
        </w:rPr>
        <w:t>）及当地相应规范中的要求、并结合本工程的特性及拟建场地的具体岩土条件确定。小钻孔的位置及数量由勘探方根据现场实际情况及国家标准</w:t>
      </w:r>
      <w:r>
        <w:rPr>
          <w:rFonts w:hint="eastAsia"/>
          <w:sz w:val="24"/>
        </w:rPr>
        <w:t>&lt;&lt;</w:t>
      </w:r>
      <w:r>
        <w:rPr>
          <w:rFonts w:hint="eastAsia"/>
          <w:sz w:val="24"/>
        </w:rPr>
        <w:t>岩土工程勘察规范</w:t>
      </w:r>
      <w:r>
        <w:rPr>
          <w:rFonts w:hint="eastAsia"/>
          <w:sz w:val="24"/>
        </w:rPr>
        <w:t>(2009</w:t>
      </w:r>
      <w:r>
        <w:rPr>
          <w:rFonts w:hint="eastAsia"/>
          <w:sz w:val="24"/>
        </w:rPr>
        <w:t>年版</w:t>
      </w:r>
      <w:r>
        <w:rPr>
          <w:rFonts w:hint="eastAsia"/>
          <w:sz w:val="24"/>
        </w:rPr>
        <w:t>)&gt;&gt;</w:t>
      </w:r>
      <w:r>
        <w:rPr>
          <w:rFonts w:hint="eastAsia"/>
          <w:sz w:val="24"/>
        </w:rPr>
        <w:t>（</w:t>
      </w:r>
      <w:r>
        <w:rPr>
          <w:rFonts w:hint="eastAsia"/>
          <w:sz w:val="24"/>
        </w:rPr>
        <w:t>GB50021-2001</w:t>
      </w:r>
      <w:r>
        <w:rPr>
          <w:rFonts w:hint="eastAsia"/>
          <w:sz w:val="24"/>
        </w:rPr>
        <w:t>）或当地相应规范中的要求自行决定。</w:t>
      </w:r>
    </w:p>
    <w:p>
      <w:pPr>
        <w:spacing w:line="360" w:lineRule="auto"/>
        <w:rPr>
          <w:sz w:val="24"/>
        </w:rPr>
      </w:pPr>
      <w:r>
        <w:rPr>
          <w:rFonts w:hint="eastAsia"/>
          <w:sz w:val="24"/>
        </w:rPr>
        <w:t xml:space="preserve">15. </w:t>
      </w:r>
      <w:r>
        <w:rPr>
          <w:rFonts w:hint="eastAsia"/>
          <w:sz w:val="24"/>
        </w:rPr>
        <w:t>本工程建筑物主要设计资料参数：</w:t>
      </w:r>
      <w:bookmarkStart w:id="0" w:name="_GoBack"/>
      <w:bookmarkEnd w:id="0"/>
    </w:p>
    <w:p>
      <w:pPr>
        <w:spacing w:line="360" w:lineRule="auto"/>
        <w:rPr>
          <w:sz w:val="24"/>
        </w:rPr>
      </w:pPr>
      <w:r>
        <w:rPr>
          <w:rFonts w:hint="eastAsia"/>
          <w:sz w:val="24"/>
        </w:rPr>
        <w:t>（建筑物安全等级：一级）</w:t>
      </w:r>
    </w:p>
    <w:p>
      <w:pPr>
        <w:spacing w:line="360" w:lineRule="auto"/>
        <w:rPr>
          <w:sz w:val="24"/>
        </w:rPr>
      </w:pPr>
      <w:r>
        <w:rPr>
          <w:rFonts w:hint="eastAsia"/>
          <w:sz w:val="24"/>
        </w:rPr>
        <w:t xml:space="preserve">16. </w:t>
      </w:r>
      <w:r>
        <w:rPr>
          <w:rFonts w:hint="eastAsia"/>
          <w:sz w:val="24"/>
        </w:rPr>
        <w:t>本说明或工程图中未详尽之处请按国家标准</w:t>
      </w:r>
      <w:r>
        <w:rPr>
          <w:rFonts w:hint="eastAsia"/>
          <w:sz w:val="24"/>
        </w:rPr>
        <w:t>&lt;&lt;</w:t>
      </w:r>
      <w:r>
        <w:rPr>
          <w:rFonts w:hint="eastAsia"/>
          <w:sz w:val="24"/>
        </w:rPr>
        <w:t>岩土工程勘察规范</w:t>
      </w:r>
      <w:r>
        <w:rPr>
          <w:rFonts w:hint="eastAsia"/>
          <w:sz w:val="24"/>
        </w:rPr>
        <w:t>(2009</w:t>
      </w:r>
      <w:r>
        <w:rPr>
          <w:rFonts w:hint="eastAsia"/>
          <w:sz w:val="24"/>
        </w:rPr>
        <w:t>年版</w:t>
      </w:r>
      <w:r>
        <w:rPr>
          <w:rFonts w:hint="eastAsia"/>
          <w:sz w:val="24"/>
        </w:rPr>
        <w:t>)&gt;&gt;</w:t>
      </w:r>
      <w:r>
        <w:rPr>
          <w:rFonts w:hint="eastAsia"/>
          <w:sz w:val="24"/>
        </w:rPr>
        <w:t>（</w:t>
      </w:r>
      <w:r>
        <w:rPr>
          <w:rFonts w:hint="eastAsia"/>
          <w:sz w:val="24"/>
        </w:rPr>
        <w:t>GB50021-2001</w:t>
      </w:r>
      <w:r>
        <w:rPr>
          <w:rFonts w:hint="eastAsia"/>
          <w:sz w:val="24"/>
        </w:rPr>
        <w:t>）及当地相应规范中的要求做。</w:t>
      </w:r>
    </w:p>
    <w:p>
      <w:pPr>
        <w:ind w:left="360" w:hangingChars="150" w:hanging="360"/>
        <w:jc w:val="right"/>
        <w:rPr>
          <w:sz w:val="24"/>
        </w:rPr>
      </w:pPr>
    </w:p>
    <w:p>
      <w:pPr>
        <w:ind w:left="360" w:hangingChars="150" w:hanging="360"/>
        <w:jc w:val="right"/>
        <w:rPr>
          <w:sz w:val="24"/>
        </w:rPr>
      </w:pPr>
    </w:p>
    <w:tbl>
      <w:tblPr>
        <w:tblW w:w="9805" w:type="dxa"/>
        <w:tblInd w:w="-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706"/>
        <w:gridCol w:w="848"/>
        <w:gridCol w:w="1241"/>
        <w:gridCol w:w="1175"/>
        <w:gridCol w:w="1234"/>
        <w:gridCol w:w="1276"/>
        <w:gridCol w:w="1134"/>
        <w:gridCol w:w="709"/>
      </w:tblGrid>
      <w:tr>
        <w:tblPrEx>
          <w:tblCellMar>
            <w:top w:w="0" w:type="dxa"/>
            <w:bottom w:w="0" w:type="dxa"/>
          </w:tblCellMar>
        </w:tblPrEx>
        <w:trPr>
          <w:cantSplit/>
          <w:trHeight w:val="336"/>
        </w:trPr>
        <w:tc>
          <w:tcPr>
            <w:tcW w:w="1482" w:type="dxa"/>
            <w:vMerge w:val="restart"/>
            <w:vAlign w:val="center"/>
          </w:tcPr>
          <w:p>
            <w:pPr>
              <w:jc w:val="right"/>
              <w:rPr>
                <w:rFonts w:ascii="宋体" w:hAnsi="宋体" w:hint="eastAsia"/>
                <w:szCs w:val="24"/>
              </w:rPr>
            </w:pPr>
            <w:r>
              <w:rPr>
                <w:rFonts w:ascii="宋体" w:hAnsi="宋体" w:hint="eastAsia"/>
                <w:szCs w:val="24"/>
              </w:rPr>
              <w:t>建筑层数或高度</w:t>
            </w:r>
          </w:p>
        </w:tc>
        <w:tc>
          <w:tcPr>
            <w:tcW w:w="706" w:type="dxa"/>
            <w:vMerge w:val="restart"/>
            <w:vAlign w:val="center"/>
          </w:tcPr>
          <w:p>
            <w:pPr>
              <w:jc w:val="right"/>
              <w:rPr>
                <w:rFonts w:ascii="宋体" w:hAnsi="宋体"/>
                <w:szCs w:val="24"/>
              </w:rPr>
            </w:pPr>
            <w:r>
              <w:rPr>
                <w:rFonts w:ascii="宋体" w:hAnsi="宋体" w:hint="eastAsia"/>
                <w:szCs w:val="24"/>
              </w:rPr>
              <w:t>基础</w:t>
            </w:r>
          </w:p>
          <w:p>
            <w:pPr>
              <w:jc w:val="right"/>
              <w:rPr>
                <w:rFonts w:ascii="宋体" w:hAnsi="宋体" w:hint="eastAsia"/>
                <w:szCs w:val="24"/>
              </w:rPr>
            </w:pPr>
            <w:r>
              <w:rPr>
                <w:rFonts w:ascii="宋体" w:hAnsi="宋体" w:hint="eastAsia"/>
                <w:szCs w:val="24"/>
              </w:rPr>
              <w:t>埋深</w:t>
            </w:r>
          </w:p>
          <w:p>
            <w:pPr>
              <w:jc w:val="right"/>
              <w:rPr>
                <w:rFonts w:ascii="宋体" w:hAnsi="宋体" w:hint="eastAsia"/>
                <w:szCs w:val="24"/>
              </w:rPr>
            </w:pPr>
            <w:r>
              <w:rPr>
                <w:rFonts w:ascii="宋体" w:hAnsi="宋体" w:hint="eastAsia"/>
                <w:szCs w:val="24"/>
              </w:rPr>
              <w:t>（m）</w:t>
            </w:r>
          </w:p>
        </w:tc>
        <w:tc>
          <w:tcPr>
            <w:tcW w:w="848" w:type="dxa"/>
            <w:vMerge w:val="restart"/>
            <w:vAlign w:val="center"/>
          </w:tcPr>
          <w:p>
            <w:pPr>
              <w:jc w:val="right"/>
              <w:rPr>
                <w:rFonts w:ascii="宋体" w:hAnsi="宋体" w:hint="eastAsia"/>
                <w:szCs w:val="24"/>
              </w:rPr>
            </w:pPr>
            <w:r>
              <w:rPr>
                <w:rFonts w:ascii="宋体" w:hAnsi="宋体" w:hint="eastAsia"/>
                <w:szCs w:val="24"/>
              </w:rPr>
              <w:t>地基基础设计等级</w:t>
            </w:r>
          </w:p>
        </w:tc>
        <w:tc>
          <w:tcPr>
            <w:tcW w:w="2416" w:type="dxa"/>
            <w:gridSpan w:val="2"/>
            <w:vAlign w:val="center"/>
          </w:tcPr>
          <w:p>
            <w:pPr>
              <w:jc w:val="right"/>
              <w:rPr>
                <w:rFonts w:ascii="宋体" w:hAnsi="宋体" w:hint="eastAsia"/>
                <w:szCs w:val="24"/>
              </w:rPr>
            </w:pPr>
            <w:r>
              <w:rPr>
                <w:rFonts w:ascii="宋体" w:hAnsi="宋体" w:hint="eastAsia"/>
                <w:szCs w:val="24"/>
              </w:rPr>
              <w:t>基 础 类 型 及 尺 寸</w:t>
            </w:r>
          </w:p>
        </w:tc>
        <w:tc>
          <w:tcPr>
            <w:tcW w:w="1234" w:type="dxa"/>
            <w:vAlign w:val="center"/>
          </w:tcPr>
          <w:p>
            <w:pPr>
              <w:jc w:val="right"/>
              <w:rPr>
                <w:rFonts w:ascii="宋体" w:hAnsi="宋体" w:hint="eastAsia"/>
                <w:szCs w:val="24"/>
              </w:rPr>
            </w:pPr>
            <w:r>
              <w:rPr>
                <w:rFonts w:ascii="宋体" w:hAnsi="宋体" w:hint="eastAsia"/>
                <w:szCs w:val="24"/>
              </w:rPr>
              <w:t>基底平均压力（KPa）</w:t>
            </w:r>
          </w:p>
        </w:tc>
        <w:tc>
          <w:tcPr>
            <w:tcW w:w="1276" w:type="dxa"/>
            <w:vAlign w:val="center"/>
          </w:tcPr>
          <w:p>
            <w:pPr>
              <w:jc w:val="right"/>
              <w:rPr>
                <w:rFonts w:ascii="宋体" w:hAnsi="宋体" w:hint="eastAsia"/>
                <w:szCs w:val="24"/>
              </w:rPr>
            </w:pPr>
            <w:r>
              <w:rPr>
                <w:rFonts w:ascii="宋体" w:hAnsi="宋体" w:hint="eastAsia"/>
                <w:szCs w:val="24"/>
              </w:rPr>
              <w:t>柱网间距或跨度（m）</w:t>
            </w:r>
          </w:p>
        </w:tc>
        <w:tc>
          <w:tcPr>
            <w:tcW w:w="1134" w:type="dxa"/>
            <w:vAlign w:val="center"/>
          </w:tcPr>
          <w:p>
            <w:pPr>
              <w:ind w:right="315"/>
              <w:jc w:val="right"/>
              <w:rPr>
                <w:rFonts w:ascii="宋体" w:hAnsi="宋体" w:hint="eastAsia"/>
                <w:szCs w:val="24"/>
              </w:rPr>
            </w:pPr>
            <w:r>
              <w:rPr>
                <w:rFonts w:ascii="宋体" w:hAnsi="宋体" w:hint="eastAsia"/>
                <w:szCs w:val="24"/>
              </w:rPr>
              <w:t>单柱</w:t>
            </w:r>
          </w:p>
          <w:p>
            <w:pPr>
              <w:jc w:val="right"/>
              <w:rPr>
                <w:rFonts w:ascii="宋体" w:hAnsi="宋体" w:hint="eastAsia"/>
                <w:szCs w:val="24"/>
              </w:rPr>
            </w:pPr>
            <w:r>
              <w:rPr>
                <w:rFonts w:ascii="宋体" w:hAnsi="宋体" w:hint="eastAsia"/>
                <w:szCs w:val="24"/>
              </w:rPr>
              <w:t>荷载（KN）</w:t>
            </w:r>
          </w:p>
        </w:tc>
        <w:tc>
          <w:tcPr>
            <w:tcW w:w="709" w:type="dxa"/>
            <w:vAlign w:val="center"/>
          </w:tcPr>
          <w:p>
            <w:pPr>
              <w:jc w:val="right"/>
              <w:rPr>
                <w:rFonts w:ascii="宋体" w:hAnsi="宋体" w:hint="eastAsia"/>
                <w:szCs w:val="24"/>
              </w:rPr>
            </w:pPr>
            <w:r>
              <w:rPr>
                <w:rFonts w:ascii="宋体" w:hAnsi="宋体" w:hint="eastAsia"/>
                <w:szCs w:val="24"/>
              </w:rPr>
              <w:t>结构</w:t>
            </w:r>
          </w:p>
          <w:p>
            <w:pPr>
              <w:jc w:val="right"/>
              <w:rPr>
                <w:rFonts w:ascii="宋体" w:hAnsi="宋体" w:hint="eastAsia"/>
                <w:szCs w:val="24"/>
              </w:rPr>
            </w:pPr>
            <w:r>
              <w:rPr>
                <w:rFonts w:ascii="宋体" w:hAnsi="宋体" w:hint="eastAsia"/>
                <w:szCs w:val="24"/>
              </w:rPr>
              <w:t>类型</w:t>
            </w:r>
          </w:p>
        </w:tc>
      </w:tr>
      <w:tr>
        <w:tblPrEx>
          <w:tblCellMar>
            <w:top w:w="0" w:type="dxa"/>
            <w:bottom w:w="0" w:type="dxa"/>
          </w:tblCellMar>
        </w:tblPrEx>
        <w:trPr>
          <w:cantSplit/>
          <w:trHeight w:val="352"/>
        </w:trPr>
        <w:tc>
          <w:tcPr>
            <w:tcW w:w="1482" w:type="dxa"/>
            <w:vMerge/>
            <w:vAlign w:val="center"/>
          </w:tcPr>
          <w:p>
            <w:pPr>
              <w:jc w:val="right"/>
              <w:rPr>
                <w:rFonts w:ascii="宋体" w:hAnsi="宋体" w:hint="eastAsia"/>
                <w:szCs w:val="24"/>
              </w:rPr>
            </w:pPr>
          </w:p>
        </w:tc>
        <w:tc>
          <w:tcPr>
            <w:tcW w:w="706" w:type="dxa"/>
            <w:vMerge/>
            <w:vAlign w:val="center"/>
          </w:tcPr>
          <w:p>
            <w:pPr>
              <w:jc w:val="right"/>
              <w:rPr>
                <w:rFonts w:ascii="宋体" w:hAnsi="宋体" w:hint="eastAsia"/>
                <w:szCs w:val="24"/>
              </w:rPr>
            </w:pPr>
          </w:p>
        </w:tc>
        <w:tc>
          <w:tcPr>
            <w:tcW w:w="848" w:type="dxa"/>
            <w:vMerge/>
            <w:vAlign w:val="center"/>
          </w:tcPr>
          <w:p>
            <w:pPr>
              <w:jc w:val="right"/>
              <w:rPr>
                <w:rFonts w:ascii="宋体" w:hAnsi="宋体" w:hint="eastAsia"/>
                <w:szCs w:val="24"/>
              </w:rPr>
            </w:pPr>
          </w:p>
        </w:tc>
        <w:tc>
          <w:tcPr>
            <w:tcW w:w="1241" w:type="dxa"/>
            <w:vAlign w:val="center"/>
          </w:tcPr>
          <w:p>
            <w:pPr>
              <w:jc w:val="right"/>
              <w:rPr>
                <w:rFonts w:ascii="宋体" w:hAnsi="宋体" w:hint="eastAsia"/>
                <w:szCs w:val="24"/>
              </w:rPr>
            </w:pPr>
            <w:r>
              <w:rPr>
                <w:rFonts w:ascii="宋体" w:hAnsi="宋体" w:hint="eastAsia"/>
                <w:szCs w:val="24"/>
              </w:rPr>
              <w:t>独立基础</w:t>
            </w:r>
          </w:p>
        </w:tc>
        <w:tc>
          <w:tcPr>
            <w:tcW w:w="1175" w:type="dxa"/>
            <w:vAlign w:val="center"/>
          </w:tcPr>
          <w:p>
            <w:pPr>
              <w:ind w:right="105"/>
              <w:jc w:val="right"/>
              <w:rPr>
                <w:rFonts w:ascii="宋体" w:hAnsi="宋体" w:hint="eastAsia"/>
                <w:szCs w:val="24"/>
              </w:rPr>
            </w:pPr>
            <w:r>
              <w:rPr>
                <w:rFonts w:ascii="宋体" w:hAnsi="宋体" w:hint="eastAsia"/>
                <w:szCs w:val="24"/>
              </w:rPr>
              <w:t>桩基</w:t>
            </w:r>
          </w:p>
        </w:tc>
        <w:tc>
          <w:tcPr>
            <w:tcW w:w="1234" w:type="dxa"/>
            <w:vMerge w:val="restart"/>
            <w:vAlign w:val="center"/>
          </w:tcPr>
          <w:p>
            <w:pPr>
              <w:jc w:val="right"/>
              <w:rPr>
                <w:rFonts w:ascii="宋体" w:hAnsi="宋体" w:hint="eastAsia"/>
                <w:szCs w:val="24"/>
              </w:rPr>
            </w:pPr>
          </w:p>
        </w:tc>
        <w:tc>
          <w:tcPr>
            <w:tcW w:w="1276" w:type="dxa"/>
            <w:vMerge w:val="restart"/>
            <w:vAlign w:val="center"/>
          </w:tcPr>
          <w:p>
            <w:pPr>
              <w:jc w:val="right"/>
              <w:rPr>
                <w:rFonts w:ascii="宋体" w:hAnsi="宋体" w:hint="eastAsia"/>
                <w:szCs w:val="24"/>
              </w:rPr>
            </w:pPr>
          </w:p>
        </w:tc>
        <w:tc>
          <w:tcPr>
            <w:tcW w:w="1134" w:type="dxa"/>
            <w:vMerge w:val="restart"/>
            <w:vAlign w:val="center"/>
          </w:tcPr>
          <w:p>
            <w:pPr>
              <w:jc w:val="right"/>
              <w:rPr>
                <w:rFonts w:ascii="宋体" w:hAnsi="宋体" w:hint="eastAsia"/>
                <w:szCs w:val="24"/>
              </w:rPr>
            </w:pPr>
          </w:p>
        </w:tc>
        <w:tc>
          <w:tcPr>
            <w:tcW w:w="709" w:type="dxa"/>
            <w:vMerge w:val="restart"/>
            <w:vAlign w:val="center"/>
          </w:tcPr>
          <w:p>
            <w:pPr>
              <w:jc w:val="right"/>
              <w:rPr>
                <w:rFonts w:ascii="宋体" w:hAnsi="宋体" w:hint="eastAsia"/>
                <w:szCs w:val="24"/>
              </w:rPr>
            </w:pPr>
          </w:p>
        </w:tc>
      </w:tr>
      <w:tr>
        <w:tblPrEx>
          <w:tblCellMar>
            <w:top w:w="0" w:type="dxa"/>
            <w:bottom w:w="0" w:type="dxa"/>
          </w:tblCellMar>
        </w:tblPrEx>
        <w:trPr>
          <w:cantSplit/>
          <w:trHeight w:val="256"/>
        </w:trPr>
        <w:tc>
          <w:tcPr>
            <w:tcW w:w="1482" w:type="dxa"/>
            <w:vMerge/>
            <w:vAlign w:val="center"/>
          </w:tcPr>
          <w:p>
            <w:pPr>
              <w:jc w:val="right"/>
              <w:rPr>
                <w:rFonts w:ascii="宋体" w:hAnsi="宋体" w:hint="eastAsia"/>
                <w:szCs w:val="24"/>
              </w:rPr>
            </w:pPr>
          </w:p>
        </w:tc>
        <w:tc>
          <w:tcPr>
            <w:tcW w:w="706" w:type="dxa"/>
            <w:vMerge/>
            <w:vAlign w:val="center"/>
          </w:tcPr>
          <w:p>
            <w:pPr>
              <w:jc w:val="right"/>
              <w:rPr>
                <w:rFonts w:ascii="宋体" w:hAnsi="宋体" w:hint="eastAsia"/>
                <w:szCs w:val="24"/>
              </w:rPr>
            </w:pPr>
          </w:p>
        </w:tc>
        <w:tc>
          <w:tcPr>
            <w:tcW w:w="848" w:type="dxa"/>
            <w:vMerge/>
            <w:vAlign w:val="center"/>
          </w:tcPr>
          <w:p>
            <w:pPr>
              <w:jc w:val="right"/>
              <w:rPr>
                <w:rFonts w:ascii="宋体" w:hAnsi="宋体" w:hint="eastAsia"/>
                <w:szCs w:val="24"/>
              </w:rPr>
            </w:pPr>
          </w:p>
        </w:tc>
        <w:tc>
          <w:tcPr>
            <w:tcW w:w="1241" w:type="dxa"/>
            <w:vAlign w:val="center"/>
          </w:tcPr>
          <w:p>
            <w:pPr>
              <w:jc w:val="right"/>
              <w:rPr>
                <w:rFonts w:ascii="宋体" w:hAnsi="宋体" w:hint="eastAsia"/>
                <w:szCs w:val="24"/>
              </w:rPr>
            </w:pPr>
            <w:r>
              <w:rPr>
                <w:rFonts w:ascii="宋体" w:hAnsi="宋体" w:hint="eastAsia"/>
                <w:szCs w:val="24"/>
              </w:rPr>
              <w:t>(长×宽）</w:t>
            </w:r>
          </w:p>
        </w:tc>
        <w:tc>
          <w:tcPr>
            <w:tcW w:w="1175" w:type="dxa"/>
            <w:vAlign w:val="center"/>
          </w:tcPr>
          <w:p>
            <w:pPr>
              <w:ind w:right="105"/>
              <w:jc w:val="right"/>
              <w:rPr>
                <w:rFonts w:ascii="宋体" w:hAnsi="宋体" w:hint="eastAsia"/>
                <w:szCs w:val="24"/>
              </w:rPr>
            </w:pPr>
            <w:r>
              <w:rPr>
                <w:rFonts w:ascii="宋体" w:hAnsi="宋体" w:hint="eastAsia"/>
                <w:szCs w:val="24"/>
              </w:rPr>
              <w:t>类型</w:t>
            </w:r>
          </w:p>
        </w:tc>
        <w:tc>
          <w:tcPr>
            <w:tcW w:w="1234" w:type="dxa"/>
            <w:vMerge/>
            <w:vAlign w:val="center"/>
          </w:tcPr>
          <w:p>
            <w:pPr>
              <w:jc w:val="right"/>
              <w:rPr>
                <w:rFonts w:ascii="宋体" w:hAnsi="宋体" w:hint="eastAsia"/>
                <w:szCs w:val="24"/>
              </w:rPr>
            </w:pPr>
          </w:p>
        </w:tc>
        <w:tc>
          <w:tcPr>
            <w:tcW w:w="1276" w:type="dxa"/>
            <w:vMerge/>
            <w:vAlign w:val="center"/>
          </w:tcPr>
          <w:p>
            <w:pPr>
              <w:jc w:val="right"/>
              <w:rPr>
                <w:rFonts w:ascii="宋体" w:hAnsi="宋体" w:hint="eastAsia"/>
                <w:szCs w:val="24"/>
              </w:rPr>
            </w:pPr>
          </w:p>
        </w:tc>
        <w:tc>
          <w:tcPr>
            <w:tcW w:w="1134" w:type="dxa"/>
            <w:vMerge/>
            <w:vAlign w:val="center"/>
          </w:tcPr>
          <w:p>
            <w:pPr>
              <w:jc w:val="right"/>
              <w:rPr>
                <w:rFonts w:ascii="宋体" w:hAnsi="宋体" w:hint="eastAsia"/>
                <w:szCs w:val="24"/>
              </w:rPr>
            </w:pPr>
          </w:p>
        </w:tc>
        <w:tc>
          <w:tcPr>
            <w:tcW w:w="709" w:type="dxa"/>
            <w:vMerge/>
            <w:vAlign w:val="center"/>
          </w:tcPr>
          <w:p>
            <w:pPr>
              <w:jc w:val="right"/>
              <w:rPr>
                <w:rFonts w:ascii="宋体" w:hAnsi="宋体" w:hint="eastAsia"/>
                <w:szCs w:val="24"/>
              </w:rPr>
            </w:pPr>
          </w:p>
        </w:tc>
      </w:tr>
      <w:tr>
        <w:tblPrEx>
          <w:tblCellMar>
            <w:top w:w="0" w:type="dxa"/>
            <w:bottom w:w="0" w:type="dxa"/>
          </w:tblCellMar>
        </w:tblPrEx>
        <w:tc>
          <w:tcPr>
            <w:tcW w:w="1482" w:type="dxa"/>
            <w:vAlign w:val="center"/>
          </w:tcPr>
          <w:p>
            <w:pPr>
              <w:widowControl/>
              <w:jc w:val="right"/>
              <w:rPr>
                <w:rFonts w:ascii="宋体" w:hAnsi="宋体" w:cs="宋体"/>
                <w:kern w:val="0"/>
                <w:szCs w:val="21"/>
              </w:rPr>
            </w:pPr>
            <w:r>
              <w:rPr>
                <w:rFonts w:ascii="宋体" w:hAnsi="宋体" w:cs="宋体" w:hint="eastAsia"/>
                <w:kern w:val="0"/>
                <w:szCs w:val="21"/>
              </w:rPr>
              <w:t>2</w:t>
            </w:r>
            <w:r>
              <w:rPr>
                <w:rFonts w:ascii="宋体" w:hAnsi="宋体" w:cs="宋体"/>
                <w:kern w:val="0"/>
                <w:szCs w:val="21"/>
              </w:rPr>
              <w:t>3.6m/6</w:t>
            </w:r>
            <w:r>
              <w:rPr>
                <w:rFonts w:ascii="宋体" w:hAnsi="宋体" w:cs="宋体" w:hint="eastAsia"/>
                <w:kern w:val="0"/>
                <w:szCs w:val="21"/>
              </w:rPr>
              <w:t>层</w:t>
            </w:r>
          </w:p>
        </w:tc>
        <w:tc>
          <w:tcPr>
            <w:tcW w:w="706" w:type="dxa"/>
            <w:vAlign w:val="center"/>
          </w:tcPr>
          <w:p>
            <w:pPr>
              <w:spacing w:line="360" w:lineRule="auto"/>
              <w:jc w:val="right"/>
              <w:rPr>
                <w:rFonts w:ascii="宋体" w:hAnsi="宋体" w:hint="eastAsia"/>
                <w:szCs w:val="24"/>
              </w:rPr>
            </w:pPr>
            <w:r>
              <w:rPr>
                <w:rFonts w:ascii="宋体" w:hAnsi="宋体" w:hint="eastAsia"/>
                <w:szCs w:val="24"/>
              </w:rPr>
              <w:t>2</w:t>
            </w:r>
            <w:r>
              <w:rPr>
                <w:rFonts w:ascii="宋体" w:hAnsi="宋体"/>
                <w:szCs w:val="24"/>
              </w:rPr>
              <w:t>.0</w:t>
            </w:r>
          </w:p>
        </w:tc>
        <w:tc>
          <w:tcPr>
            <w:tcW w:w="848" w:type="dxa"/>
            <w:vAlign w:val="center"/>
          </w:tcPr>
          <w:p>
            <w:pPr>
              <w:spacing w:line="360" w:lineRule="auto"/>
              <w:jc w:val="right"/>
              <w:rPr>
                <w:rFonts w:ascii="宋体" w:hAnsi="宋体" w:hint="eastAsia"/>
                <w:szCs w:val="24"/>
              </w:rPr>
            </w:pPr>
            <w:r>
              <w:rPr>
                <w:rFonts w:ascii="宋体" w:hAnsi="宋体" w:hint="eastAsia"/>
                <w:szCs w:val="24"/>
              </w:rPr>
              <w:t>乙</w:t>
            </w:r>
          </w:p>
        </w:tc>
        <w:tc>
          <w:tcPr>
            <w:tcW w:w="1241" w:type="dxa"/>
            <w:vAlign w:val="center"/>
          </w:tcPr>
          <w:p>
            <w:pPr>
              <w:spacing w:line="240" w:lineRule="exact"/>
              <w:jc w:val="right"/>
              <w:rPr>
                <w:rFonts w:ascii="宋体" w:hAnsi="宋体" w:hint="eastAsia"/>
                <w:sz w:val="18"/>
                <w:szCs w:val="18"/>
              </w:rPr>
            </w:pPr>
          </w:p>
        </w:tc>
        <w:tc>
          <w:tcPr>
            <w:tcW w:w="1175" w:type="dxa"/>
            <w:vAlign w:val="center"/>
          </w:tcPr>
          <w:p>
            <w:pPr>
              <w:spacing w:line="360" w:lineRule="auto"/>
              <w:ind w:leftChars="-51" w:left="-107"/>
              <w:jc w:val="right"/>
              <w:rPr>
                <w:rFonts w:ascii="宋体" w:hAnsi="宋体" w:hint="eastAsia"/>
                <w:szCs w:val="24"/>
              </w:rPr>
            </w:pPr>
            <w:r>
              <w:rPr>
                <w:rFonts w:ascii="宋体" w:hAnsi="宋体" w:hint="eastAsia"/>
                <w:szCs w:val="24"/>
              </w:rPr>
              <w:t>灌注桩</w:t>
            </w:r>
          </w:p>
        </w:tc>
        <w:tc>
          <w:tcPr>
            <w:tcW w:w="1234" w:type="dxa"/>
            <w:vAlign w:val="center"/>
          </w:tcPr>
          <w:p>
            <w:pPr>
              <w:spacing w:line="360" w:lineRule="auto"/>
              <w:ind w:right="270"/>
              <w:jc w:val="right"/>
              <w:rPr>
                <w:rFonts w:ascii="宋体" w:hAnsi="宋体" w:hint="eastAsia"/>
                <w:sz w:val="18"/>
                <w:szCs w:val="18"/>
              </w:rPr>
            </w:pPr>
            <w:r>
              <w:rPr>
                <w:rFonts w:ascii="宋体" w:hAnsi="宋体" w:hint="eastAsia"/>
                <w:sz w:val="18"/>
                <w:szCs w:val="18"/>
              </w:rPr>
              <w:t>1</w:t>
            </w:r>
            <w:r>
              <w:rPr>
                <w:rFonts w:ascii="宋体" w:hAnsi="宋体"/>
                <w:sz w:val="18"/>
                <w:szCs w:val="18"/>
              </w:rPr>
              <w:t>30</w:t>
            </w:r>
          </w:p>
        </w:tc>
        <w:tc>
          <w:tcPr>
            <w:tcW w:w="1276" w:type="dxa"/>
            <w:vAlign w:val="center"/>
          </w:tcPr>
          <w:p>
            <w:pPr>
              <w:spacing w:line="360" w:lineRule="auto"/>
              <w:jc w:val="right"/>
              <w:rPr>
                <w:rFonts w:ascii="宋体" w:hAnsi="宋体" w:hint="eastAsia"/>
                <w:sz w:val="18"/>
                <w:szCs w:val="18"/>
              </w:rPr>
            </w:pPr>
            <w:r>
              <w:rPr>
                <w:rFonts w:ascii="宋体" w:hAnsi="宋体" w:hint="eastAsia"/>
                <w:sz w:val="18"/>
                <w:szCs w:val="18"/>
              </w:rPr>
              <w:t>7</w:t>
            </w:r>
            <w:r>
              <w:rPr>
                <w:rFonts w:ascii="宋体" w:hAnsi="宋体"/>
                <w:sz w:val="18"/>
                <w:szCs w:val="18"/>
              </w:rPr>
              <w:t>.4x8.4</w:t>
            </w:r>
          </w:p>
        </w:tc>
        <w:tc>
          <w:tcPr>
            <w:tcW w:w="1134" w:type="dxa"/>
            <w:vAlign w:val="center"/>
          </w:tcPr>
          <w:p>
            <w:pPr>
              <w:spacing w:line="360" w:lineRule="auto"/>
              <w:jc w:val="right"/>
              <w:rPr>
                <w:rFonts w:ascii="宋体" w:hAnsi="宋体" w:hint="eastAsia"/>
                <w:sz w:val="18"/>
                <w:szCs w:val="18"/>
              </w:rPr>
            </w:pPr>
            <w:r>
              <w:rPr>
                <w:rFonts w:ascii="宋体" w:hAnsi="宋体" w:hint="eastAsia"/>
                <w:sz w:val="18"/>
                <w:szCs w:val="18"/>
              </w:rPr>
              <w:t>3800</w:t>
            </w:r>
          </w:p>
        </w:tc>
        <w:tc>
          <w:tcPr>
            <w:tcW w:w="709" w:type="dxa"/>
            <w:vAlign w:val="center"/>
          </w:tcPr>
          <w:p>
            <w:pPr>
              <w:spacing w:line="360" w:lineRule="auto"/>
              <w:jc w:val="right"/>
              <w:rPr>
                <w:rFonts w:ascii="宋体" w:hAnsi="宋体" w:hint="eastAsia"/>
                <w:sz w:val="18"/>
                <w:szCs w:val="18"/>
              </w:rPr>
            </w:pPr>
            <w:r>
              <w:rPr>
                <w:rFonts w:ascii="宋体" w:hAnsi="宋体" w:hint="eastAsia"/>
                <w:sz w:val="18"/>
                <w:szCs w:val="18"/>
              </w:rPr>
              <w:t>框架</w:t>
            </w:r>
          </w:p>
        </w:tc>
      </w:tr>
    </w:tbl>
    <w:p>
      <w:pPr>
        <w:ind w:left="360" w:hangingChars="150" w:hanging="360"/>
        <w:jc w:val="right"/>
        <w:rPr>
          <w:sz w:val="24"/>
        </w:rPr>
      </w:pPr>
    </w:p>
    <w:sect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849A8"/>
    <w:multiLevelType w:val="hybridMultilevel"/>
    <w:tmpl w:val="434080D4"/>
    <w:lvl w:ilvl="0" w:tplc="192E828C">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7683FF0"/>
    <w:multiLevelType w:val="hybridMultilevel"/>
    <w:tmpl w:val="2320DAA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304A347A"/>
    <w:multiLevelType w:val="hybridMultilevel"/>
    <w:tmpl w:val="A3D21FA2"/>
    <w:lvl w:ilvl="0" w:tplc="C5A251A6">
      <w:start w:val="1"/>
      <w:numFmt w:val="decimal"/>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5F74262E"/>
    <w:multiLevelType w:val="hybridMultilevel"/>
    <w:tmpl w:val="ECD66606"/>
    <w:lvl w:ilvl="0" w:tplc="FE6ACCE0">
      <w:start w:val="1"/>
      <w:numFmt w:val="decimal"/>
      <w:lvlText w:val="%1．"/>
      <w:lvlJc w:val="left"/>
      <w:pPr>
        <w:tabs>
          <w:tab w:val="num" w:pos="36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3E23ED-A062-4704-BCD5-6E7221069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rPr>
      <w:kern w:val="2"/>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character" w:customStyle="1" w:styleId="a6">
    <w:name w:val="页脚 字符"/>
    <w:link w:val="a5"/>
    <w:uiPriority w:val="99"/>
    <w:rPr>
      <w:kern w:val="2"/>
      <w:sz w:val="18"/>
      <w:szCs w:val="18"/>
    </w:rPr>
  </w:style>
  <w:style w:type="character" w:customStyle="1" w:styleId="a7">
    <w:name w:val="纯文本 字符"/>
    <w:link w:val="a8"/>
    <w:rPr>
      <w:rFonts w:ascii="宋体" w:hAnsi="Courier New" w:cs="Courier New"/>
      <w:szCs w:val="21"/>
    </w:rPr>
  </w:style>
  <w:style w:type="paragraph" w:styleId="a8">
    <w:name w:val="Plain Text"/>
    <w:basedOn w:val="a"/>
    <w:link w:val="a7"/>
    <w:rPr>
      <w:rFonts w:ascii="宋体" w:hAnsi="Courier New" w:cs="Courier New"/>
      <w:kern w:val="0"/>
      <w:sz w:val="20"/>
      <w:szCs w:val="21"/>
    </w:rPr>
  </w:style>
  <w:style w:type="character" w:customStyle="1" w:styleId="Char1">
    <w:name w:val="纯文本 Char1"/>
    <w:uiPriority w:val="99"/>
    <w:semiHidden/>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189</Words>
  <Characters>1081</Characters>
  <Application>Microsoft Office Word</Application>
  <DocSecurity>0</DocSecurity>
  <Lines>9</Lines>
  <Paragraphs>2</Paragraphs>
  <ScaleCrop>false</ScaleCrop>
  <HeadingPairs>
    <vt:vector size="2" baseType="variant">
      <vt:variant>
        <vt:lpstr>题目</vt:lpstr>
      </vt:variant>
      <vt:variant>
        <vt:i4>1</vt:i4>
      </vt:variant>
    </vt:vector>
  </HeadingPairs>
  <TitlesOfParts>
    <vt:vector size="1" baseType="lpstr">
      <vt:lpstr>详勘说明：</vt:lpstr>
    </vt:vector>
  </TitlesOfParts>
  <Company>tjadri</Company>
  <LinksUpToDate>false</LinksUpToDate>
  <CharactersWithSpaces>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详勘说明：</dc:title>
  <dc:subject/>
  <dc:creator>殷维忠</dc:creator>
  <cp:keywords/>
  <dc:description/>
  <cp:lastModifiedBy>殷维忠</cp:lastModifiedBy>
  <cp:revision>23</cp:revision>
  <cp:lastPrinted>2007-01-26T04:06:00Z</cp:lastPrinted>
  <dcterms:created xsi:type="dcterms:W3CDTF">2017-07-05T09:24:00Z</dcterms:created>
  <dcterms:modified xsi:type="dcterms:W3CDTF">2023-01-06T08:33:00Z</dcterms:modified>
</cp:coreProperties>
</file>